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0996" w14:textId="221A7A04" w:rsidR="0022474B" w:rsidRPr="006002A5" w:rsidRDefault="00CA44A2" w:rsidP="0022474B">
      <w:pPr>
        <w:pStyle w:val="Heading1"/>
      </w:pPr>
      <w:r>
        <w:t xml:space="preserve">DRAFT ACS </w:t>
      </w:r>
      <w:r w:rsidR="0022474B">
        <w:t>Appendix H – Payload Constituents</w:t>
      </w:r>
    </w:p>
    <w:tbl>
      <w:tblPr>
        <w:tblStyle w:val="StandardStyle"/>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870"/>
        <w:gridCol w:w="2381"/>
        <w:gridCol w:w="1939"/>
      </w:tblGrid>
      <w:tr w:rsidR="00C87C59" w14:paraId="3D43A7DF" w14:textId="77777777" w:rsidTr="00372AC8">
        <w:trPr>
          <w:cnfStyle w:val="100000000000" w:firstRow="1" w:lastRow="0" w:firstColumn="0" w:lastColumn="0" w:oddVBand="0" w:evenVBand="0" w:oddHBand="0"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4230" w:type="dxa"/>
          </w:tcPr>
          <w:p w14:paraId="4D769775" w14:textId="77777777" w:rsidR="0022474B" w:rsidRPr="00232858" w:rsidRDefault="0022474B" w:rsidP="00232858">
            <w:pPr>
              <w:spacing w:after="0"/>
              <w:jc w:val="right"/>
              <w:rPr>
                <w:rFonts w:ascii="Calibri" w:eastAsia="Times New Roman" w:hAnsi="Calibri" w:cs="Calibri"/>
                <w:bCs/>
                <w:color w:val="000000"/>
                <w:szCs w:val="18"/>
              </w:rPr>
            </w:pPr>
          </w:p>
        </w:tc>
        <w:tc>
          <w:tcPr>
            <w:tcW w:w="2246" w:type="dxa"/>
            <w:hideMark/>
          </w:tcPr>
          <w:p w14:paraId="599D46C8" w14:textId="77777777" w:rsidR="0022474B" w:rsidRPr="00232858" w:rsidRDefault="0022474B" w:rsidP="0023285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000000"/>
                <w:szCs w:val="18"/>
              </w:rPr>
            </w:pPr>
            <w:r w:rsidRPr="00232858">
              <w:rPr>
                <w:rFonts w:ascii="Calibri" w:eastAsia="Times New Roman" w:hAnsi="Calibri" w:cs="Calibri"/>
                <w:bCs/>
                <w:color w:val="000000"/>
                <w:szCs w:val="18"/>
              </w:rPr>
              <w:t>Constituent #1</w:t>
            </w:r>
          </w:p>
        </w:tc>
        <w:tc>
          <w:tcPr>
            <w:tcW w:w="2246" w:type="dxa"/>
            <w:hideMark/>
          </w:tcPr>
          <w:p w14:paraId="01B15A5A" w14:textId="77777777" w:rsidR="0022474B" w:rsidRPr="00232858" w:rsidRDefault="0022474B" w:rsidP="0023285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000000"/>
                <w:szCs w:val="18"/>
              </w:rPr>
            </w:pPr>
            <w:r w:rsidRPr="00232858">
              <w:rPr>
                <w:rFonts w:ascii="Calibri" w:eastAsia="Times New Roman" w:hAnsi="Calibri" w:cs="Calibri"/>
                <w:bCs/>
                <w:color w:val="000000"/>
                <w:szCs w:val="18"/>
              </w:rPr>
              <w:t>Constituent #2</w:t>
            </w:r>
          </w:p>
        </w:tc>
        <w:tc>
          <w:tcPr>
            <w:tcW w:w="2246" w:type="dxa"/>
          </w:tcPr>
          <w:p w14:paraId="0BE3CD32" w14:textId="77777777" w:rsidR="0022474B" w:rsidRPr="00232858" w:rsidRDefault="0022474B" w:rsidP="00232858">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000000"/>
                <w:szCs w:val="18"/>
              </w:rPr>
            </w:pPr>
            <w:r w:rsidRPr="00232858">
              <w:rPr>
                <w:rFonts w:ascii="Calibri" w:eastAsia="Times New Roman" w:hAnsi="Calibri" w:cs="Calibri"/>
                <w:bCs/>
                <w:color w:val="000000"/>
                <w:szCs w:val="18"/>
              </w:rPr>
              <w:t>Constituent #3</w:t>
            </w:r>
          </w:p>
        </w:tc>
      </w:tr>
      <w:tr w:rsidR="00C87C59" w14:paraId="0FD90066" w14:textId="77777777" w:rsidTr="00372AC8">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tcPr>
          <w:p w14:paraId="678BE307" w14:textId="77777777" w:rsidR="00372AC8" w:rsidRPr="00232858" w:rsidRDefault="00372AC8"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Payload Constituent (satellite, separation system, etc.)</w:t>
            </w:r>
          </w:p>
        </w:tc>
        <w:tc>
          <w:tcPr>
            <w:tcW w:w="2246" w:type="dxa"/>
          </w:tcPr>
          <w:p w14:paraId="691BECEA" w14:textId="77777777" w:rsidR="00372AC8" w:rsidRDefault="003B7ECA"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Cs w:val="18"/>
              </w:rPr>
            </w:pPr>
            <w:r w:rsidRPr="003B7ECA">
              <w:rPr>
                <w:rFonts w:ascii="Calibri" w:eastAsia="Times New Roman" w:hAnsi="Calibri" w:cs="Calibri"/>
                <w:b/>
                <w:bCs/>
                <w:i/>
                <w:iCs/>
                <w:color w:val="000000"/>
                <w:szCs w:val="18"/>
              </w:rPr>
              <w:t>6U Spacecraft Bus</w:t>
            </w:r>
          </w:p>
          <w:p w14:paraId="7C9169F7" w14:textId="5CEBCBBE" w:rsidR="003B7ECA" w:rsidRPr="003B7ECA" w:rsidRDefault="003B7ECA"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Alpha Cube Sat</w:t>
            </w:r>
          </w:p>
        </w:tc>
        <w:tc>
          <w:tcPr>
            <w:tcW w:w="2246" w:type="dxa"/>
          </w:tcPr>
          <w:p w14:paraId="4AF19F07" w14:textId="77777777" w:rsidR="00372AC8" w:rsidRPr="003B7ECA" w:rsidRDefault="003B7ECA"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Cs w:val="18"/>
              </w:rPr>
            </w:pPr>
            <w:r w:rsidRPr="003B7ECA">
              <w:rPr>
                <w:rFonts w:ascii="Calibri" w:eastAsia="Times New Roman" w:hAnsi="Calibri" w:cs="Calibri"/>
                <w:b/>
                <w:bCs/>
                <w:i/>
                <w:iCs/>
                <w:color w:val="000000"/>
                <w:szCs w:val="18"/>
              </w:rPr>
              <w:t>Primary Payloads</w:t>
            </w:r>
          </w:p>
          <w:p w14:paraId="1DC59E2A" w14:textId="15B37FA6" w:rsidR="003B7ECA" w:rsidRDefault="003B7ECA" w:rsidP="003B7ECA">
            <w:pPr>
              <w:pStyle w:val="ListParagraph"/>
              <w:numPr>
                <w:ilvl w:val="0"/>
                <w:numId w:val="1"/>
              </w:numPr>
              <w:spacing w:after="0"/>
              <w:ind w:left="27" w:hanging="297"/>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 xml:space="preserve">Ka Band Software Defined Radio </w:t>
            </w:r>
            <w:r w:rsidR="003643B1">
              <w:rPr>
                <w:rFonts w:ascii="Calibri" w:eastAsia="Times New Roman" w:hAnsi="Calibri" w:cs="Calibri"/>
                <w:color w:val="000000"/>
                <w:szCs w:val="18"/>
              </w:rPr>
              <w:t xml:space="preserve">(SDR) </w:t>
            </w:r>
            <w:r>
              <w:rPr>
                <w:rFonts w:ascii="Calibri" w:eastAsia="Times New Roman" w:hAnsi="Calibri" w:cs="Calibri"/>
                <w:color w:val="000000"/>
                <w:szCs w:val="18"/>
              </w:rPr>
              <w:t>&amp; Aperture</w:t>
            </w:r>
          </w:p>
          <w:p w14:paraId="7A3728D0" w14:textId="77777777" w:rsidR="003B7ECA" w:rsidRDefault="003B7ECA" w:rsidP="003B7ECA">
            <w:pPr>
              <w:pStyle w:val="ListParagraph"/>
              <w:numPr>
                <w:ilvl w:val="0"/>
                <w:numId w:val="1"/>
              </w:numPr>
              <w:spacing w:after="0"/>
              <w:ind w:left="200" w:hanging="26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Memorial Cremains</w:t>
            </w:r>
          </w:p>
          <w:p w14:paraId="719B348B" w14:textId="0855CDF4" w:rsidR="00574D90" w:rsidRPr="003B7ECA" w:rsidRDefault="00574D90" w:rsidP="003B7ECA">
            <w:pPr>
              <w:pStyle w:val="ListParagraph"/>
              <w:numPr>
                <w:ilvl w:val="0"/>
                <w:numId w:val="1"/>
              </w:numPr>
              <w:spacing w:after="0"/>
              <w:ind w:left="200" w:hanging="26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Auxiliary Propulsion</w:t>
            </w:r>
          </w:p>
        </w:tc>
        <w:tc>
          <w:tcPr>
            <w:tcW w:w="2246" w:type="dxa"/>
          </w:tcPr>
          <w:p w14:paraId="338286DB" w14:textId="77777777" w:rsidR="003B7ECA" w:rsidRDefault="003B7ECA" w:rsidP="003B7ECA">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sidRPr="003B7ECA">
              <w:rPr>
                <w:rFonts w:ascii="Calibri" w:eastAsia="Times New Roman" w:hAnsi="Calibri" w:cs="Calibri"/>
                <w:b/>
                <w:bCs/>
                <w:i/>
                <w:iCs/>
                <w:color w:val="000000"/>
                <w:szCs w:val="18"/>
              </w:rPr>
              <w:t>Optional Secondary</w:t>
            </w:r>
            <w:r>
              <w:rPr>
                <w:rFonts w:ascii="Calibri" w:eastAsia="Times New Roman" w:hAnsi="Calibri" w:cs="Calibri"/>
                <w:color w:val="000000"/>
                <w:szCs w:val="18"/>
              </w:rPr>
              <w:t xml:space="preserve"> </w:t>
            </w:r>
            <w:r w:rsidRPr="003643B1">
              <w:rPr>
                <w:rFonts w:ascii="Calibri" w:eastAsia="Times New Roman" w:hAnsi="Calibri" w:cs="Calibri"/>
                <w:b/>
                <w:bCs/>
                <w:i/>
                <w:iCs/>
                <w:color w:val="000000"/>
                <w:szCs w:val="18"/>
              </w:rPr>
              <w:t>Payloads</w:t>
            </w:r>
          </w:p>
          <w:p w14:paraId="23BB41FC" w14:textId="77777777" w:rsidR="00372AC8" w:rsidRDefault="003B7ECA" w:rsidP="003B7ECA">
            <w:pPr>
              <w:pStyle w:val="ListParagraph"/>
              <w:numPr>
                <w:ilvl w:val="0"/>
                <w:numId w:val="4"/>
              </w:numPr>
              <w:spacing w:after="0"/>
              <w:ind w:left="24" w:hanging="166"/>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 xml:space="preserve">  </w:t>
            </w:r>
            <w:r w:rsidRPr="003B7ECA">
              <w:rPr>
                <w:rFonts w:ascii="Calibri" w:eastAsia="Times New Roman" w:hAnsi="Calibri" w:cs="Calibri"/>
                <w:color w:val="000000"/>
                <w:szCs w:val="18"/>
              </w:rPr>
              <w:t>Laser Retroreflectors</w:t>
            </w:r>
          </w:p>
          <w:p w14:paraId="6C2BC75B" w14:textId="77777777" w:rsidR="003B7ECA" w:rsidRDefault="003B7ECA" w:rsidP="00574D90">
            <w:pPr>
              <w:pStyle w:val="ListParagraph"/>
              <w:numPr>
                <w:ilvl w:val="0"/>
                <w:numId w:val="4"/>
              </w:numPr>
              <w:spacing w:after="0"/>
              <w:ind w:left="-80" w:hanging="277"/>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Optical Network Terminal</w:t>
            </w:r>
          </w:p>
          <w:p w14:paraId="6A3BB699" w14:textId="1DDC99B6" w:rsidR="00574D90" w:rsidRPr="003B7ECA" w:rsidRDefault="00574D90" w:rsidP="00574D90">
            <w:pPr>
              <w:pStyle w:val="ListParagraph"/>
              <w:numPr>
                <w:ilvl w:val="0"/>
                <w:numId w:val="4"/>
              </w:numPr>
              <w:spacing w:after="0"/>
              <w:ind w:left="-80" w:hanging="187"/>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Additional Memorial Cremains</w:t>
            </w:r>
          </w:p>
        </w:tc>
      </w:tr>
      <w:tr w:rsidR="00C87C59" w14:paraId="7CD9C04E" w14:textId="77777777" w:rsidTr="00372AC8">
        <w:trPr>
          <w:cnfStyle w:val="000000010000" w:firstRow="0" w:lastRow="0" w:firstColumn="0" w:lastColumn="0" w:oddVBand="0" w:evenVBand="0" w:oddHBand="0" w:evenHBand="1"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tcPr>
          <w:p w14:paraId="12F1035A"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Owner</w:t>
            </w:r>
          </w:p>
        </w:tc>
        <w:tc>
          <w:tcPr>
            <w:tcW w:w="2246" w:type="dxa"/>
          </w:tcPr>
          <w:p w14:paraId="431A534F" w14:textId="523DD2AE" w:rsidR="0022474B" w:rsidRPr="00232858" w:rsidRDefault="003B7ECA"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Xtraordinary Innovative Space Partnerships, Inc. (XISP-Inc)</w:t>
            </w:r>
          </w:p>
        </w:tc>
        <w:tc>
          <w:tcPr>
            <w:tcW w:w="2246" w:type="dxa"/>
          </w:tcPr>
          <w:p w14:paraId="63FADFB4" w14:textId="4FBEF16D" w:rsidR="0022474B" w:rsidRPr="00232858" w:rsidRDefault="003B7ECA"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Xtraordinary Innovative Space Partnerships, Inc. (XISP-Inc)</w:t>
            </w:r>
          </w:p>
        </w:tc>
        <w:tc>
          <w:tcPr>
            <w:tcW w:w="2246" w:type="dxa"/>
          </w:tcPr>
          <w:p w14:paraId="2A64ECB6" w14:textId="6B40CB6C" w:rsidR="0022474B" w:rsidRPr="00232858" w:rsidRDefault="003B7ECA"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Xtraordinary Innovative Space Partnerships, Inc. (XISP-Inc)</w:t>
            </w:r>
          </w:p>
        </w:tc>
      </w:tr>
      <w:tr w:rsidR="00C87C59" w14:paraId="4E00628C" w14:textId="77777777" w:rsidTr="00372AC8">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tcPr>
          <w:p w14:paraId="48B36766"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Address (including Country) o</w:t>
            </w:r>
            <w:r>
              <w:rPr>
                <w:rFonts w:ascii="Calibri" w:eastAsia="Times New Roman" w:hAnsi="Calibri" w:cs="Calibri"/>
                <w:bCs/>
                <w:color w:val="000000"/>
                <w:szCs w:val="18"/>
              </w:rPr>
              <w:t>f</w:t>
            </w:r>
            <w:r w:rsidRPr="00232858">
              <w:rPr>
                <w:rFonts w:ascii="Calibri" w:eastAsia="Times New Roman" w:hAnsi="Calibri" w:cs="Calibri"/>
                <w:bCs/>
                <w:color w:val="000000"/>
                <w:szCs w:val="18"/>
              </w:rPr>
              <w:t xml:space="preserve"> Owner</w:t>
            </w:r>
          </w:p>
        </w:tc>
        <w:tc>
          <w:tcPr>
            <w:tcW w:w="2246" w:type="dxa"/>
          </w:tcPr>
          <w:p w14:paraId="25927FA9" w14:textId="1406B321" w:rsidR="0022474B" w:rsidRPr="00232858" w:rsidRDefault="003B7ECA"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8012 MacArthur Boulevard, Cabin John, MD 20818</w:t>
            </w:r>
          </w:p>
        </w:tc>
        <w:tc>
          <w:tcPr>
            <w:tcW w:w="2246" w:type="dxa"/>
          </w:tcPr>
          <w:p w14:paraId="00383470" w14:textId="0195E765" w:rsidR="0022474B" w:rsidRPr="00232858" w:rsidRDefault="003B7ECA"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8012 MacArthur Boulevard, Cabin John, MD 20818</w:t>
            </w:r>
          </w:p>
        </w:tc>
        <w:tc>
          <w:tcPr>
            <w:tcW w:w="2246" w:type="dxa"/>
          </w:tcPr>
          <w:p w14:paraId="07406F74" w14:textId="6EDAB806" w:rsidR="0022474B" w:rsidRPr="00232858" w:rsidRDefault="003B7ECA"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8012 MacArthur Boulevard, Cabin John, MD 20818</w:t>
            </w:r>
          </w:p>
        </w:tc>
      </w:tr>
      <w:tr w:rsidR="00C87C59" w14:paraId="582A79DB" w14:textId="77777777" w:rsidTr="00372AC8">
        <w:trPr>
          <w:cnfStyle w:val="000000010000" w:firstRow="0" w:lastRow="0" w:firstColumn="0" w:lastColumn="0" w:oddVBand="0" w:evenVBand="0" w:oddHBand="0" w:evenHBand="1"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hideMark/>
          </w:tcPr>
          <w:p w14:paraId="7FD17FEB"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Manufacturer</w:t>
            </w:r>
          </w:p>
        </w:tc>
        <w:tc>
          <w:tcPr>
            <w:tcW w:w="2246" w:type="dxa"/>
            <w:hideMark/>
          </w:tcPr>
          <w:p w14:paraId="5BB2C0C9" w14:textId="0A484DAB" w:rsidR="0022474B" w:rsidRDefault="003643B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sidRPr="003643B1">
              <w:rPr>
                <w:rFonts w:ascii="Calibri" w:eastAsia="Times New Roman" w:hAnsi="Calibri" w:cs="Calibri"/>
                <w:color w:val="000000"/>
                <w:szCs w:val="18"/>
                <w:u w:val="single"/>
              </w:rPr>
              <w:t>Baseline</w:t>
            </w:r>
            <w:r>
              <w:rPr>
                <w:rFonts w:ascii="Calibri" w:eastAsia="Times New Roman" w:hAnsi="Calibri" w:cs="Calibri"/>
                <w:color w:val="000000"/>
                <w:szCs w:val="18"/>
              </w:rPr>
              <w:t xml:space="preserve">: </w:t>
            </w:r>
            <w:r w:rsidR="00CA44A2">
              <w:rPr>
                <w:rFonts w:ascii="Calibri" w:eastAsia="Times New Roman" w:hAnsi="Calibri" w:cs="Calibri"/>
                <w:color w:val="000000"/>
                <w:szCs w:val="18"/>
              </w:rPr>
              <w:t>GOMSPACE Premium 6U</w:t>
            </w:r>
          </w:p>
          <w:p w14:paraId="41855396" w14:textId="55AB13EF" w:rsidR="003643B1" w:rsidRDefault="003643B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sidRPr="003643B1">
              <w:rPr>
                <w:rFonts w:ascii="Calibri" w:eastAsia="Times New Roman" w:hAnsi="Calibri" w:cs="Calibri"/>
                <w:color w:val="000000"/>
                <w:szCs w:val="18"/>
                <w:u w:val="single"/>
              </w:rPr>
              <w:t>1</w:t>
            </w:r>
            <w:r w:rsidRPr="003643B1">
              <w:rPr>
                <w:rFonts w:ascii="Calibri" w:eastAsia="Times New Roman" w:hAnsi="Calibri" w:cs="Calibri"/>
                <w:color w:val="000000"/>
                <w:szCs w:val="18"/>
                <w:u w:val="single"/>
                <w:vertAlign w:val="superscript"/>
              </w:rPr>
              <w:t>st</w:t>
            </w:r>
            <w:r w:rsidRPr="003643B1">
              <w:rPr>
                <w:rFonts w:ascii="Calibri" w:eastAsia="Times New Roman" w:hAnsi="Calibri" w:cs="Calibri"/>
                <w:color w:val="000000"/>
                <w:szCs w:val="18"/>
                <w:u w:val="single"/>
              </w:rPr>
              <w:t xml:space="preserve"> Alternate</w:t>
            </w:r>
            <w:r>
              <w:rPr>
                <w:rFonts w:ascii="Calibri" w:eastAsia="Times New Roman" w:hAnsi="Calibri" w:cs="Calibri"/>
                <w:color w:val="000000"/>
                <w:szCs w:val="18"/>
              </w:rPr>
              <w:t xml:space="preserve">: </w:t>
            </w:r>
            <w:r w:rsidR="00CA44A2">
              <w:rPr>
                <w:rFonts w:ascii="Calibri" w:eastAsia="Times New Roman" w:hAnsi="Calibri" w:cs="Calibri"/>
                <w:color w:val="000000"/>
                <w:szCs w:val="18"/>
              </w:rPr>
              <w:t>Blue Canyon Technologies BE-6</w:t>
            </w:r>
          </w:p>
          <w:p w14:paraId="232560F2" w14:textId="1F288E72" w:rsidR="003643B1" w:rsidRPr="00232858" w:rsidRDefault="003643B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p>
        </w:tc>
        <w:tc>
          <w:tcPr>
            <w:tcW w:w="2246" w:type="dxa"/>
            <w:hideMark/>
          </w:tcPr>
          <w:p w14:paraId="78524B0C" w14:textId="32F2EBF6" w:rsidR="00574D90" w:rsidRPr="00574D90" w:rsidRDefault="00C87C59" w:rsidP="00574D90">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u w:val="single"/>
              </w:rPr>
              <w:t>Comm</w:t>
            </w:r>
            <w:r w:rsidR="00574D90" w:rsidRPr="00574D90">
              <w:rPr>
                <w:rFonts w:ascii="Calibri" w:eastAsia="Times New Roman" w:hAnsi="Calibri" w:cs="Calibri"/>
                <w:color w:val="000000"/>
                <w:szCs w:val="18"/>
                <w:u w:val="single"/>
              </w:rPr>
              <w:t xml:space="preserve"> </w:t>
            </w:r>
            <w:r w:rsidR="00574D90">
              <w:rPr>
                <w:rFonts w:ascii="Calibri" w:eastAsia="Times New Roman" w:hAnsi="Calibri" w:cs="Calibri"/>
                <w:color w:val="000000"/>
                <w:szCs w:val="18"/>
                <w:u w:val="single"/>
              </w:rPr>
              <w:t>– Tech Dev</w:t>
            </w:r>
          </w:p>
          <w:p w14:paraId="21B565EE" w14:textId="2D5A328E" w:rsidR="0022474B" w:rsidRPr="00574D90" w:rsidRDefault="003643B1" w:rsidP="00574D90">
            <w:pPr>
              <w:pStyle w:val="ListParagraph"/>
              <w:numPr>
                <w:ilvl w:val="0"/>
                <w:numId w:val="5"/>
              </w:numPr>
              <w:spacing w:after="0"/>
              <w:ind w:left="354" w:hanging="431"/>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sidRPr="00574D90">
              <w:rPr>
                <w:rFonts w:ascii="Calibri" w:eastAsia="Times New Roman" w:hAnsi="Calibri" w:cs="Calibri"/>
                <w:color w:val="000000"/>
                <w:szCs w:val="18"/>
                <w:u w:val="single"/>
              </w:rPr>
              <w:t>Baseline</w:t>
            </w:r>
            <w:r w:rsidRPr="00574D90">
              <w:rPr>
                <w:rFonts w:ascii="Calibri" w:eastAsia="Times New Roman" w:hAnsi="Calibri" w:cs="Calibri"/>
                <w:color w:val="000000"/>
                <w:szCs w:val="18"/>
              </w:rPr>
              <w:t>: Tethers Unlimited Swift Ka SDR + aperture</w:t>
            </w:r>
          </w:p>
          <w:p w14:paraId="68D0B55A" w14:textId="38D521EA" w:rsidR="003643B1" w:rsidRDefault="003643B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sidRPr="003643B1">
              <w:rPr>
                <w:rFonts w:ascii="Calibri" w:eastAsia="Times New Roman" w:hAnsi="Calibri" w:cs="Calibri"/>
                <w:color w:val="000000"/>
                <w:szCs w:val="18"/>
                <w:u w:val="single"/>
              </w:rPr>
              <w:t>1</w:t>
            </w:r>
            <w:r w:rsidRPr="003643B1">
              <w:rPr>
                <w:rFonts w:ascii="Calibri" w:eastAsia="Times New Roman" w:hAnsi="Calibri" w:cs="Calibri"/>
                <w:color w:val="000000"/>
                <w:szCs w:val="18"/>
                <w:u w:val="single"/>
                <w:vertAlign w:val="superscript"/>
              </w:rPr>
              <w:t>st</w:t>
            </w:r>
            <w:r w:rsidRPr="003643B1">
              <w:rPr>
                <w:rFonts w:ascii="Calibri" w:eastAsia="Times New Roman" w:hAnsi="Calibri" w:cs="Calibri"/>
                <w:color w:val="000000"/>
                <w:szCs w:val="18"/>
                <w:u w:val="single"/>
              </w:rPr>
              <w:t xml:space="preserve"> Alternate</w:t>
            </w:r>
            <w:r>
              <w:rPr>
                <w:rFonts w:ascii="Calibri" w:eastAsia="Times New Roman" w:hAnsi="Calibri" w:cs="Calibri"/>
                <w:color w:val="000000"/>
                <w:szCs w:val="18"/>
              </w:rPr>
              <w:t xml:space="preserve">: </w:t>
            </w:r>
            <w:proofErr w:type="spellStart"/>
            <w:r>
              <w:rPr>
                <w:rFonts w:ascii="Calibri" w:eastAsia="Times New Roman" w:hAnsi="Calibri" w:cs="Calibri"/>
                <w:color w:val="000000"/>
                <w:szCs w:val="18"/>
              </w:rPr>
              <w:t>GOMspace</w:t>
            </w:r>
            <w:proofErr w:type="spellEnd"/>
            <w:r>
              <w:rPr>
                <w:rFonts w:ascii="Calibri" w:eastAsia="Times New Roman" w:hAnsi="Calibri" w:cs="Calibri"/>
                <w:color w:val="000000"/>
                <w:szCs w:val="18"/>
              </w:rPr>
              <w:t xml:space="preserve"> Ka SDR + aperture</w:t>
            </w:r>
          </w:p>
          <w:p w14:paraId="6382F050" w14:textId="1E5979C3" w:rsidR="00574D90" w:rsidRDefault="00574D90" w:rsidP="00574D90">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sidRPr="00574D90">
              <w:rPr>
                <w:rFonts w:ascii="Calibri" w:eastAsia="Times New Roman" w:hAnsi="Calibri" w:cs="Calibri"/>
                <w:color w:val="000000"/>
                <w:szCs w:val="18"/>
              </w:rPr>
              <w:t xml:space="preserve">- - - - - - - - - - </w:t>
            </w:r>
            <w:r>
              <w:rPr>
                <w:rFonts w:ascii="Calibri" w:eastAsia="Times New Roman" w:hAnsi="Calibri" w:cs="Calibri"/>
                <w:color w:val="000000"/>
                <w:szCs w:val="18"/>
              </w:rPr>
              <w:t xml:space="preserve">- - - - </w:t>
            </w:r>
            <w:r w:rsidRPr="00574D90">
              <w:rPr>
                <w:rFonts w:ascii="Calibri" w:eastAsia="Times New Roman" w:hAnsi="Calibri" w:cs="Calibri"/>
                <w:color w:val="000000"/>
                <w:szCs w:val="18"/>
              </w:rPr>
              <w:t>- - - -</w:t>
            </w:r>
          </w:p>
          <w:p w14:paraId="69A0E0B7" w14:textId="5ED07407" w:rsidR="00574D90" w:rsidRDefault="00574D90" w:rsidP="00574D90">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u w:val="single"/>
              </w:rPr>
            </w:pPr>
            <w:r w:rsidRPr="00574D90">
              <w:rPr>
                <w:rFonts w:ascii="Calibri" w:eastAsia="Times New Roman" w:hAnsi="Calibri" w:cs="Calibri"/>
                <w:color w:val="000000"/>
                <w:szCs w:val="18"/>
                <w:u w:val="single"/>
              </w:rPr>
              <w:t>Commercial</w:t>
            </w:r>
            <w:r w:rsidR="00C87C59">
              <w:rPr>
                <w:rFonts w:ascii="Calibri" w:eastAsia="Times New Roman" w:hAnsi="Calibri" w:cs="Calibri"/>
                <w:color w:val="000000"/>
                <w:szCs w:val="18"/>
                <w:u w:val="single"/>
              </w:rPr>
              <w:t xml:space="preserve"> – Cargo </w:t>
            </w:r>
          </w:p>
          <w:p w14:paraId="013A2C12" w14:textId="77777777" w:rsidR="00CA44A2" w:rsidRDefault="00574D90" w:rsidP="00574D90">
            <w:pPr>
              <w:pStyle w:val="ListParagraph"/>
              <w:numPr>
                <w:ilvl w:val="0"/>
                <w:numId w:val="5"/>
              </w:numPr>
              <w:spacing w:after="0"/>
              <w:ind w:left="84"/>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Celestis memorial</w:t>
            </w:r>
          </w:p>
          <w:p w14:paraId="24131E2F" w14:textId="6449E099" w:rsidR="00574D90" w:rsidRDefault="00574D90" w:rsidP="00CA44A2">
            <w:pPr>
              <w:pStyle w:val="ListParagraph"/>
              <w:spacing w:after="0"/>
              <w:ind w:left="84"/>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 xml:space="preserve"> cremains .25 kg</w:t>
            </w:r>
          </w:p>
          <w:p w14:paraId="03673C6C" w14:textId="375FAA0A" w:rsidR="00C87C59" w:rsidRDefault="00C87C59" w:rsidP="00C87C59">
            <w:pPr>
              <w:pStyle w:val="ListParagraph"/>
              <w:spacing w:after="0"/>
              <w:ind w:left="84"/>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sidRPr="00C87C59">
              <w:rPr>
                <w:rFonts w:ascii="Calibri" w:eastAsia="Times New Roman" w:hAnsi="Calibri" w:cs="Calibri"/>
                <w:color w:val="000000"/>
                <w:szCs w:val="18"/>
              </w:rPr>
              <w:t>- - - - - - - - - - - - - - - - - -</w:t>
            </w:r>
          </w:p>
          <w:p w14:paraId="338D712B" w14:textId="1D875E13" w:rsidR="00C87C59" w:rsidRPr="00C87C59" w:rsidRDefault="00C87C59" w:rsidP="00C87C5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u w:val="single"/>
              </w:rPr>
            </w:pPr>
            <w:r w:rsidRPr="00C87C59">
              <w:rPr>
                <w:rFonts w:ascii="Calibri" w:eastAsia="Times New Roman" w:hAnsi="Calibri" w:cs="Calibri"/>
                <w:color w:val="000000"/>
                <w:szCs w:val="18"/>
                <w:u w:val="single"/>
              </w:rPr>
              <w:t>Propulsion – Tech Dev</w:t>
            </w:r>
          </w:p>
          <w:p w14:paraId="6D30B992" w14:textId="5A77EB55" w:rsidR="00C87C59" w:rsidRPr="00C87C59" w:rsidRDefault="00C87C59" w:rsidP="00C87C59">
            <w:pPr>
              <w:pStyle w:val="ListParagraph"/>
              <w:numPr>
                <w:ilvl w:val="0"/>
                <w:numId w:val="5"/>
              </w:numPr>
              <w:spacing w:after="0"/>
              <w:ind w:left="375" w:hanging="431"/>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 xml:space="preserve">Use of </w:t>
            </w:r>
            <w:proofErr w:type="gramStart"/>
            <w:r>
              <w:rPr>
                <w:rFonts w:ascii="Calibri" w:eastAsia="Times New Roman" w:hAnsi="Calibri" w:cs="Calibri"/>
                <w:color w:val="000000"/>
                <w:szCs w:val="18"/>
              </w:rPr>
              <w:t>novel  deployment</w:t>
            </w:r>
            <w:proofErr w:type="gramEnd"/>
            <w:r>
              <w:rPr>
                <w:rFonts w:ascii="Calibri" w:eastAsia="Times New Roman" w:hAnsi="Calibri" w:cs="Calibri"/>
                <w:color w:val="000000"/>
                <w:szCs w:val="18"/>
              </w:rPr>
              <w:t xml:space="preserve"> timing/parameters, Delta V as a service, and/or provisioning of extra fuel may be required to reach alternate minimum energy trajectory insertion point</w:t>
            </w:r>
          </w:p>
          <w:p w14:paraId="4A295E8E" w14:textId="77777777" w:rsidR="00C87C59" w:rsidRPr="00C87C59" w:rsidRDefault="00C87C59" w:rsidP="00C87C59">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p>
          <w:p w14:paraId="6C04E014" w14:textId="5DD734D8" w:rsidR="00C87C59" w:rsidRPr="00574D90" w:rsidRDefault="00C87C59" w:rsidP="00C87C59">
            <w:pPr>
              <w:pStyle w:val="ListParagraph"/>
              <w:spacing w:after="0"/>
              <w:ind w:left="84"/>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p>
        </w:tc>
        <w:tc>
          <w:tcPr>
            <w:tcW w:w="2246" w:type="dxa"/>
          </w:tcPr>
          <w:p w14:paraId="64404517" w14:textId="001073BF" w:rsidR="00574D90" w:rsidRPr="00574D90" w:rsidRDefault="00574D90" w:rsidP="00574D90">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u w:val="single"/>
              </w:rPr>
            </w:pPr>
            <w:r w:rsidRPr="00574D90">
              <w:rPr>
                <w:rFonts w:ascii="Calibri" w:eastAsia="Times New Roman" w:hAnsi="Calibri" w:cs="Calibri"/>
                <w:color w:val="000000"/>
                <w:szCs w:val="18"/>
                <w:u w:val="single"/>
              </w:rPr>
              <w:t>Science</w:t>
            </w:r>
          </w:p>
          <w:p w14:paraId="5A3057B7" w14:textId="0BA1EF1C" w:rsidR="00574D90" w:rsidRDefault="003643B1" w:rsidP="00574D90">
            <w:pPr>
              <w:pStyle w:val="ListParagraph"/>
              <w:numPr>
                <w:ilvl w:val="0"/>
                <w:numId w:val="8"/>
              </w:numPr>
              <w:spacing w:after="0"/>
              <w:ind w:left="215" w:hanging="229"/>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sidRPr="00574D90">
              <w:rPr>
                <w:rFonts w:ascii="Calibri" w:eastAsia="Times New Roman" w:hAnsi="Calibri" w:cs="Calibri"/>
                <w:color w:val="000000"/>
                <w:szCs w:val="18"/>
              </w:rPr>
              <w:t>Government Furnished Equipment</w:t>
            </w:r>
          </w:p>
          <w:p w14:paraId="5E5EC0AA" w14:textId="68A4E489" w:rsidR="00574D90" w:rsidRDefault="00574D90" w:rsidP="00574D90">
            <w:pPr>
              <w:pStyle w:val="ListParagraph"/>
              <w:spacing w:after="0"/>
              <w:ind w:left="215"/>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and/or</w:t>
            </w:r>
          </w:p>
          <w:p w14:paraId="28E9AC56" w14:textId="177E15DC" w:rsidR="0022474B" w:rsidRPr="00574D90" w:rsidRDefault="003643B1" w:rsidP="00574D90">
            <w:pPr>
              <w:pStyle w:val="ListParagraph"/>
              <w:numPr>
                <w:ilvl w:val="0"/>
                <w:numId w:val="8"/>
              </w:numPr>
              <w:spacing w:after="0"/>
              <w:ind w:left="215" w:hanging="229"/>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sidRPr="00574D90">
              <w:rPr>
                <w:rFonts w:ascii="Calibri" w:eastAsia="Times New Roman" w:hAnsi="Calibri" w:cs="Calibri"/>
                <w:color w:val="000000"/>
                <w:szCs w:val="18"/>
              </w:rPr>
              <w:t>Commercial swap for early flight opportunity</w:t>
            </w:r>
          </w:p>
          <w:p w14:paraId="6FAD65D4" w14:textId="77777777" w:rsidR="00574D90" w:rsidRDefault="00574D90" w:rsidP="00574D90">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sidRPr="00574D90">
              <w:rPr>
                <w:rFonts w:ascii="Calibri" w:eastAsia="Times New Roman" w:hAnsi="Calibri" w:cs="Calibri"/>
                <w:color w:val="000000"/>
                <w:szCs w:val="18"/>
              </w:rPr>
              <w:t xml:space="preserve">- - - - - - - - - - </w:t>
            </w:r>
            <w:r>
              <w:rPr>
                <w:rFonts w:ascii="Calibri" w:eastAsia="Times New Roman" w:hAnsi="Calibri" w:cs="Calibri"/>
                <w:color w:val="000000"/>
                <w:szCs w:val="18"/>
              </w:rPr>
              <w:t xml:space="preserve">- - - - </w:t>
            </w:r>
            <w:r w:rsidRPr="00574D90">
              <w:rPr>
                <w:rFonts w:ascii="Calibri" w:eastAsia="Times New Roman" w:hAnsi="Calibri" w:cs="Calibri"/>
                <w:color w:val="000000"/>
                <w:szCs w:val="18"/>
              </w:rPr>
              <w:t>- - - -</w:t>
            </w:r>
          </w:p>
          <w:p w14:paraId="12155A00" w14:textId="530E120C" w:rsidR="00574D90" w:rsidRPr="00574D90" w:rsidRDefault="00C87C59" w:rsidP="00574D90">
            <w:pPr>
              <w:pStyle w:val="ListParagraph"/>
              <w:numPr>
                <w:ilvl w:val="0"/>
                <w:numId w:val="8"/>
              </w:numPr>
              <w:spacing w:after="0"/>
              <w:ind w:left="172" w:hanging="172"/>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 xml:space="preserve">Additional </w:t>
            </w:r>
            <w:r w:rsidR="00574D90" w:rsidRPr="00574D90">
              <w:rPr>
                <w:rFonts w:ascii="Calibri" w:eastAsia="Times New Roman" w:hAnsi="Calibri" w:cs="Calibri"/>
                <w:color w:val="000000"/>
                <w:szCs w:val="18"/>
              </w:rPr>
              <w:t xml:space="preserve">Celestis memorial cremains .25 kg </w:t>
            </w:r>
            <w:r>
              <w:rPr>
                <w:rFonts w:ascii="Calibri" w:eastAsia="Times New Roman" w:hAnsi="Calibri" w:cs="Calibri"/>
                <w:color w:val="000000"/>
                <w:szCs w:val="18"/>
              </w:rPr>
              <w:t>on space available basis</w:t>
            </w:r>
          </w:p>
        </w:tc>
      </w:tr>
      <w:tr w:rsidR="00C87C59" w14:paraId="6CFAFF64" w14:textId="77777777" w:rsidTr="00372AC8">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hideMark/>
          </w:tcPr>
          <w:p w14:paraId="7091A7D0"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Address (including country) of Manufacturer</w:t>
            </w:r>
          </w:p>
        </w:tc>
        <w:tc>
          <w:tcPr>
            <w:tcW w:w="2246" w:type="dxa"/>
            <w:hideMark/>
          </w:tcPr>
          <w:p w14:paraId="1EDFCDED" w14:textId="77777777" w:rsidR="0022474B" w:rsidRPr="00232858" w:rsidRDefault="0022474B"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p>
        </w:tc>
        <w:tc>
          <w:tcPr>
            <w:tcW w:w="2246" w:type="dxa"/>
            <w:hideMark/>
          </w:tcPr>
          <w:p w14:paraId="0AEBBE37" w14:textId="77777777" w:rsidR="0022474B" w:rsidRPr="00232858" w:rsidRDefault="0022474B"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p>
        </w:tc>
        <w:tc>
          <w:tcPr>
            <w:tcW w:w="2246" w:type="dxa"/>
          </w:tcPr>
          <w:p w14:paraId="10ECF18A" w14:textId="77777777" w:rsidR="0022474B" w:rsidRPr="00232858" w:rsidRDefault="0022474B"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p>
        </w:tc>
      </w:tr>
      <w:tr w:rsidR="00C87C59" w14:paraId="214700C5" w14:textId="77777777" w:rsidTr="00372AC8">
        <w:trPr>
          <w:cnfStyle w:val="000000010000" w:firstRow="0" w:lastRow="0" w:firstColumn="0" w:lastColumn="0" w:oddVBand="0" w:evenVBand="0" w:oddHBand="0" w:evenHBand="1"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hideMark/>
          </w:tcPr>
          <w:p w14:paraId="74248B5F"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Operator</w:t>
            </w:r>
          </w:p>
        </w:tc>
        <w:tc>
          <w:tcPr>
            <w:tcW w:w="2246" w:type="dxa"/>
            <w:hideMark/>
          </w:tcPr>
          <w:p w14:paraId="3903B904" w14:textId="22641B0F" w:rsidR="0022474B" w:rsidRPr="00232858" w:rsidRDefault="00C87C59"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sidRPr="00C87C59">
              <w:rPr>
                <w:rFonts w:ascii="Calibri" w:eastAsia="Times New Roman" w:hAnsi="Calibri" w:cs="Calibri"/>
                <w:color w:val="000000"/>
                <w:szCs w:val="18"/>
              </w:rPr>
              <w:t>Xtraordinary Innovative Space Partnerships, Inc. (XISP-Inc)</w:t>
            </w:r>
          </w:p>
        </w:tc>
        <w:tc>
          <w:tcPr>
            <w:tcW w:w="2246" w:type="dxa"/>
            <w:hideMark/>
          </w:tcPr>
          <w:p w14:paraId="5EDDB1E2" w14:textId="756EC239" w:rsidR="0022474B" w:rsidRPr="00232858" w:rsidRDefault="00C87C59"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Xtraordinary Innovative Space Partnerships, Inc. (XISP-Inc)</w:t>
            </w:r>
          </w:p>
        </w:tc>
        <w:tc>
          <w:tcPr>
            <w:tcW w:w="2246" w:type="dxa"/>
          </w:tcPr>
          <w:p w14:paraId="79FE065C" w14:textId="28662DC9" w:rsidR="0022474B" w:rsidRPr="00232858" w:rsidRDefault="00C87C59"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Xtraordinary Innovative Space Partnerships, Inc. (XISP-Inc)</w:t>
            </w:r>
          </w:p>
        </w:tc>
      </w:tr>
      <w:tr w:rsidR="00C87C59" w14:paraId="40056E16" w14:textId="77777777" w:rsidTr="00372AC8">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hideMark/>
          </w:tcPr>
          <w:p w14:paraId="3BF53718"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lastRenderedPageBreak/>
              <w:t>Address (including country) of Operator</w:t>
            </w:r>
          </w:p>
        </w:tc>
        <w:tc>
          <w:tcPr>
            <w:tcW w:w="2246" w:type="dxa"/>
            <w:hideMark/>
          </w:tcPr>
          <w:p w14:paraId="494F7008" w14:textId="50BC822F" w:rsidR="0022474B" w:rsidRPr="00232858" w:rsidRDefault="00C87C59"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8012 MacArthur Boulevard, Cabin John, MD 20818</w:t>
            </w:r>
          </w:p>
        </w:tc>
        <w:tc>
          <w:tcPr>
            <w:tcW w:w="2246" w:type="dxa"/>
            <w:hideMark/>
          </w:tcPr>
          <w:p w14:paraId="0789B45B" w14:textId="6ADB37CA" w:rsidR="0022474B" w:rsidRPr="00232858" w:rsidRDefault="00C87C59"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8012 MacArthur Boulevard, Cabin John, MD 20818</w:t>
            </w:r>
          </w:p>
        </w:tc>
        <w:tc>
          <w:tcPr>
            <w:tcW w:w="2246" w:type="dxa"/>
          </w:tcPr>
          <w:p w14:paraId="48D8CB8B" w14:textId="76F81DBE" w:rsidR="0022474B" w:rsidRPr="00232858" w:rsidRDefault="00C87C59"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8012 MacArthur Boulevard, Cabin John, MD 20818</w:t>
            </w:r>
          </w:p>
        </w:tc>
      </w:tr>
      <w:tr w:rsidR="00C87C59" w14:paraId="191FF2B0" w14:textId="77777777" w:rsidTr="00372AC8">
        <w:trPr>
          <w:cnfStyle w:val="000000010000" w:firstRow="0" w:lastRow="0" w:firstColumn="0" w:lastColumn="0" w:oddVBand="0" w:evenVBand="0" w:oddHBand="0" w:evenHBand="1"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hideMark/>
          </w:tcPr>
          <w:p w14:paraId="2B5D0C9F"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End User</w:t>
            </w:r>
          </w:p>
        </w:tc>
        <w:tc>
          <w:tcPr>
            <w:tcW w:w="2246" w:type="dxa"/>
            <w:hideMark/>
          </w:tcPr>
          <w:p w14:paraId="2BBA064E" w14:textId="2B87C8F9" w:rsidR="0022474B" w:rsidRPr="00232858" w:rsidRDefault="00505E3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Xtraordinary Innovative Space Partnerships, Inc. (XISP-Inc)</w:t>
            </w:r>
          </w:p>
        </w:tc>
        <w:tc>
          <w:tcPr>
            <w:tcW w:w="2246" w:type="dxa"/>
            <w:hideMark/>
          </w:tcPr>
          <w:p w14:paraId="1A90B04F" w14:textId="1335C2CA" w:rsidR="0022474B" w:rsidRPr="00232858" w:rsidRDefault="00505E3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Xtraordinary Innovative Space Partnerships, Inc. (XISP-Inc)</w:t>
            </w:r>
          </w:p>
        </w:tc>
        <w:tc>
          <w:tcPr>
            <w:tcW w:w="2246" w:type="dxa"/>
          </w:tcPr>
          <w:p w14:paraId="3BC89599" w14:textId="107E7A0E" w:rsidR="0022474B" w:rsidRPr="00232858" w:rsidRDefault="00505E3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Xtraordinary Innovative Space Partnerships, Inc. (XISP-Inc)</w:t>
            </w:r>
          </w:p>
        </w:tc>
      </w:tr>
      <w:tr w:rsidR="00C87C59" w14:paraId="0F4412F5" w14:textId="77777777" w:rsidTr="00372AC8">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hideMark/>
          </w:tcPr>
          <w:p w14:paraId="79AE172F"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Address (including country) of End User(s)</w:t>
            </w:r>
          </w:p>
        </w:tc>
        <w:tc>
          <w:tcPr>
            <w:tcW w:w="2246" w:type="dxa"/>
            <w:hideMark/>
          </w:tcPr>
          <w:p w14:paraId="26BC70B2" w14:textId="4050335D" w:rsidR="0022474B" w:rsidRPr="00232858" w:rsidRDefault="00C87C59"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8012 MacArthur Boulevard, Cabin John, MD 20818</w:t>
            </w:r>
            <w:r w:rsidR="00CA44A2">
              <w:rPr>
                <w:rFonts w:ascii="Calibri" w:eastAsia="Times New Roman" w:hAnsi="Calibri" w:cs="Calibri"/>
                <w:color w:val="000000"/>
                <w:szCs w:val="18"/>
              </w:rPr>
              <w:t xml:space="preserve"> USA</w:t>
            </w:r>
          </w:p>
        </w:tc>
        <w:tc>
          <w:tcPr>
            <w:tcW w:w="2246" w:type="dxa"/>
            <w:hideMark/>
          </w:tcPr>
          <w:p w14:paraId="263C11A4" w14:textId="74C1BCD7" w:rsidR="0022474B" w:rsidRPr="00232858" w:rsidRDefault="00C87C59"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8012 MacArthur Boulevard, Cabin John, MD 20818</w:t>
            </w:r>
            <w:r w:rsidR="00CA44A2">
              <w:rPr>
                <w:rFonts w:ascii="Calibri" w:eastAsia="Times New Roman" w:hAnsi="Calibri" w:cs="Calibri"/>
                <w:color w:val="000000"/>
                <w:szCs w:val="18"/>
              </w:rPr>
              <w:t xml:space="preserve"> USA</w:t>
            </w:r>
          </w:p>
        </w:tc>
        <w:tc>
          <w:tcPr>
            <w:tcW w:w="2246" w:type="dxa"/>
          </w:tcPr>
          <w:p w14:paraId="697D8429" w14:textId="73A209BE" w:rsidR="0022474B" w:rsidRPr="00232858" w:rsidRDefault="00C87C59"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8012 MacArthur Boulevard, Cabin John, MD 20818</w:t>
            </w:r>
            <w:r w:rsidR="00CA44A2">
              <w:rPr>
                <w:rFonts w:ascii="Calibri" w:eastAsia="Times New Roman" w:hAnsi="Calibri" w:cs="Calibri"/>
                <w:color w:val="000000"/>
                <w:szCs w:val="18"/>
              </w:rPr>
              <w:t xml:space="preserve"> USA</w:t>
            </w:r>
          </w:p>
        </w:tc>
      </w:tr>
      <w:tr w:rsidR="00C87C59" w14:paraId="3917DE90" w14:textId="77777777" w:rsidTr="00372AC8">
        <w:trPr>
          <w:cnfStyle w:val="000000010000" w:firstRow="0" w:lastRow="0" w:firstColumn="0" w:lastColumn="0" w:oddVBand="0" w:evenVBand="0" w:oddHBand="0" w:evenHBand="1"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hideMark/>
          </w:tcPr>
          <w:p w14:paraId="4197F05C"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End Use</w:t>
            </w:r>
          </w:p>
        </w:tc>
        <w:tc>
          <w:tcPr>
            <w:tcW w:w="2246" w:type="dxa"/>
            <w:hideMark/>
          </w:tcPr>
          <w:p w14:paraId="7CECCB77" w14:textId="53DF45ED" w:rsidR="0022474B" w:rsidRPr="00232858" w:rsidRDefault="00505E3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Deep Space Spacecraft Bus</w:t>
            </w:r>
          </w:p>
        </w:tc>
        <w:tc>
          <w:tcPr>
            <w:tcW w:w="2246" w:type="dxa"/>
            <w:hideMark/>
          </w:tcPr>
          <w:p w14:paraId="23469077" w14:textId="1C18D1B7" w:rsidR="0022474B" w:rsidRPr="00232858" w:rsidRDefault="00505E3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NASA CubeQuest Challenge Deep Space Derby Participant &amp; Celestis Enterprise Mission</w:t>
            </w:r>
          </w:p>
        </w:tc>
        <w:tc>
          <w:tcPr>
            <w:tcW w:w="2246" w:type="dxa"/>
          </w:tcPr>
          <w:p w14:paraId="6520DF00" w14:textId="18B4DBF6" w:rsidR="0022474B" w:rsidRPr="00232858" w:rsidRDefault="00505E3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sidRPr="00505E31">
              <w:rPr>
                <w:rFonts w:ascii="Calibri" w:eastAsia="Times New Roman" w:hAnsi="Calibri" w:cs="Calibri"/>
                <w:color w:val="000000"/>
                <w:szCs w:val="18"/>
              </w:rPr>
              <w:t>Cooperative Test Article in NASA Laser Communication Relay Demonstration (LCRD) mission</w:t>
            </w:r>
            <w:r>
              <w:rPr>
                <w:rFonts w:ascii="Calibri" w:eastAsia="Times New Roman" w:hAnsi="Calibri" w:cs="Calibri"/>
                <w:color w:val="000000"/>
                <w:szCs w:val="18"/>
              </w:rPr>
              <w:t xml:space="preserve"> &amp; Celestis Enterprise Mission</w:t>
            </w:r>
          </w:p>
        </w:tc>
      </w:tr>
      <w:tr w:rsidR="00C87C59" w14:paraId="70F34F0B" w14:textId="77777777" w:rsidTr="00372AC8">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hideMark/>
          </w:tcPr>
          <w:p w14:paraId="63C212CD"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General Description</w:t>
            </w:r>
          </w:p>
        </w:tc>
        <w:tc>
          <w:tcPr>
            <w:tcW w:w="2246" w:type="dxa"/>
            <w:hideMark/>
          </w:tcPr>
          <w:p w14:paraId="2758302B" w14:textId="5D94C814" w:rsidR="0022474B" w:rsidRPr="00232858" w:rsidRDefault="00505E31"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Deep Space Spacecraft Bus</w:t>
            </w:r>
          </w:p>
        </w:tc>
        <w:tc>
          <w:tcPr>
            <w:tcW w:w="2246" w:type="dxa"/>
            <w:hideMark/>
          </w:tcPr>
          <w:p w14:paraId="7D3CB876" w14:textId="55ED8A81" w:rsidR="0022474B" w:rsidRPr="00232858" w:rsidRDefault="00505E31"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Advanced Communications Technology Development/Demonstration Satellite</w:t>
            </w:r>
          </w:p>
        </w:tc>
        <w:tc>
          <w:tcPr>
            <w:tcW w:w="2246" w:type="dxa"/>
          </w:tcPr>
          <w:p w14:paraId="1D7D74B7" w14:textId="0F7B70F6" w:rsidR="0022474B" w:rsidRPr="00232858" w:rsidRDefault="00C87C59"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Cooperative Test Article in NASA Laser Communication Relay Demonstration (LCRD) mission</w:t>
            </w:r>
          </w:p>
        </w:tc>
      </w:tr>
      <w:tr w:rsidR="00C87C59" w14:paraId="5BB71974" w14:textId="77777777" w:rsidTr="00372AC8">
        <w:trPr>
          <w:cnfStyle w:val="000000010000" w:firstRow="0" w:lastRow="0" w:firstColumn="0" w:lastColumn="0" w:oddVBand="0" w:evenVBand="0" w:oddHBand="0" w:evenHBand="1"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hideMark/>
          </w:tcPr>
          <w:p w14:paraId="412C4C89"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Propulsion</w:t>
            </w:r>
          </w:p>
        </w:tc>
        <w:tc>
          <w:tcPr>
            <w:tcW w:w="2246" w:type="dxa"/>
            <w:hideMark/>
          </w:tcPr>
          <w:p w14:paraId="1EC45B5D" w14:textId="77777777" w:rsidR="003643B1" w:rsidRDefault="003643B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 xml:space="preserve">Cold gas and/or </w:t>
            </w:r>
          </w:p>
          <w:p w14:paraId="5B810134" w14:textId="294387FA" w:rsidR="0022474B" w:rsidRPr="00232858" w:rsidRDefault="003643B1" w:rsidP="00232858">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H</w:t>
            </w:r>
            <w:r w:rsidRPr="003643B1">
              <w:rPr>
                <w:rFonts w:ascii="Calibri" w:eastAsia="Times New Roman" w:hAnsi="Calibri" w:cs="Calibri"/>
                <w:color w:val="000000"/>
                <w:szCs w:val="18"/>
                <w:vertAlign w:val="subscript"/>
              </w:rPr>
              <w:t>2</w:t>
            </w:r>
            <w:r>
              <w:rPr>
                <w:rFonts w:ascii="Calibri" w:eastAsia="Times New Roman" w:hAnsi="Calibri" w:cs="Calibri"/>
                <w:color w:val="000000"/>
                <w:szCs w:val="18"/>
              </w:rPr>
              <w:t xml:space="preserve">0 </w:t>
            </w:r>
            <w:r w:rsidRPr="003643B1">
              <w:rPr>
                <w:rFonts w:ascii="Calibri" w:eastAsia="Times New Roman" w:hAnsi="Calibri" w:cs="Calibri"/>
                <w:color w:val="000000"/>
                <w:szCs w:val="18"/>
              </w:rPr>
              <w:sym w:font="Wingdings" w:char="F0E8"/>
            </w:r>
            <w:r>
              <w:rPr>
                <w:rFonts w:ascii="Calibri" w:eastAsia="Times New Roman" w:hAnsi="Calibri" w:cs="Calibri"/>
                <w:color w:val="000000"/>
                <w:szCs w:val="18"/>
              </w:rPr>
              <w:t xml:space="preserve"> H</w:t>
            </w:r>
            <w:r w:rsidRPr="003643B1">
              <w:rPr>
                <w:rFonts w:ascii="Calibri" w:eastAsia="Times New Roman" w:hAnsi="Calibri" w:cs="Calibri"/>
                <w:color w:val="000000"/>
                <w:szCs w:val="18"/>
                <w:vertAlign w:val="subscript"/>
              </w:rPr>
              <w:t>2</w:t>
            </w:r>
            <w:r>
              <w:rPr>
                <w:rFonts w:ascii="Calibri" w:eastAsia="Times New Roman" w:hAnsi="Calibri" w:cs="Calibri"/>
                <w:color w:val="000000"/>
                <w:szCs w:val="18"/>
              </w:rPr>
              <w:t>O</w:t>
            </w:r>
            <w:r w:rsidRPr="003643B1">
              <w:rPr>
                <w:rFonts w:ascii="Calibri" w:eastAsia="Times New Roman" w:hAnsi="Calibri" w:cs="Calibri"/>
                <w:color w:val="000000"/>
                <w:szCs w:val="18"/>
                <w:vertAlign w:val="subscript"/>
              </w:rPr>
              <w:t>2</w:t>
            </w:r>
          </w:p>
        </w:tc>
        <w:tc>
          <w:tcPr>
            <w:tcW w:w="2246" w:type="dxa"/>
            <w:hideMark/>
          </w:tcPr>
          <w:p w14:paraId="4E777DAD" w14:textId="77777777" w:rsidR="00505E31" w:rsidRDefault="00505E31" w:rsidP="00505E31">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 xml:space="preserve">Cold gas and/or </w:t>
            </w:r>
          </w:p>
          <w:p w14:paraId="7F181522" w14:textId="591D43EB" w:rsidR="0022474B" w:rsidRPr="00232858" w:rsidRDefault="00505E31" w:rsidP="00505E31">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H</w:t>
            </w:r>
            <w:r w:rsidRPr="003643B1">
              <w:rPr>
                <w:rFonts w:ascii="Calibri" w:eastAsia="Times New Roman" w:hAnsi="Calibri" w:cs="Calibri"/>
                <w:color w:val="000000"/>
                <w:szCs w:val="18"/>
                <w:vertAlign w:val="subscript"/>
              </w:rPr>
              <w:t>2</w:t>
            </w:r>
            <w:r>
              <w:rPr>
                <w:rFonts w:ascii="Calibri" w:eastAsia="Times New Roman" w:hAnsi="Calibri" w:cs="Calibri"/>
                <w:color w:val="000000"/>
                <w:szCs w:val="18"/>
              </w:rPr>
              <w:t xml:space="preserve">0 </w:t>
            </w:r>
            <w:r w:rsidRPr="003643B1">
              <w:rPr>
                <w:rFonts w:ascii="Calibri" w:eastAsia="Times New Roman" w:hAnsi="Calibri" w:cs="Calibri"/>
                <w:color w:val="000000"/>
                <w:szCs w:val="18"/>
              </w:rPr>
              <w:sym w:font="Wingdings" w:char="F0E8"/>
            </w:r>
            <w:r>
              <w:rPr>
                <w:rFonts w:ascii="Calibri" w:eastAsia="Times New Roman" w:hAnsi="Calibri" w:cs="Calibri"/>
                <w:color w:val="000000"/>
                <w:szCs w:val="18"/>
              </w:rPr>
              <w:t xml:space="preserve"> H</w:t>
            </w:r>
            <w:r w:rsidRPr="003643B1">
              <w:rPr>
                <w:rFonts w:ascii="Calibri" w:eastAsia="Times New Roman" w:hAnsi="Calibri" w:cs="Calibri"/>
                <w:color w:val="000000"/>
                <w:szCs w:val="18"/>
                <w:vertAlign w:val="subscript"/>
              </w:rPr>
              <w:t>2</w:t>
            </w:r>
            <w:r>
              <w:rPr>
                <w:rFonts w:ascii="Calibri" w:eastAsia="Times New Roman" w:hAnsi="Calibri" w:cs="Calibri"/>
                <w:color w:val="000000"/>
                <w:szCs w:val="18"/>
              </w:rPr>
              <w:t>O</w:t>
            </w:r>
            <w:r w:rsidRPr="003643B1">
              <w:rPr>
                <w:rFonts w:ascii="Calibri" w:eastAsia="Times New Roman" w:hAnsi="Calibri" w:cs="Calibri"/>
                <w:color w:val="000000"/>
                <w:szCs w:val="18"/>
                <w:vertAlign w:val="subscript"/>
              </w:rPr>
              <w:t>2</w:t>
            </w:r>
          </w:p>
        </w:tc>
        <w:tc>
          <w:tcPr>
            <w:tcW w:w="2246" w:type="dxa"/>
          </w:tcPr>
          <w:p w14:paraId="59EFB31C" w14:textId="6AFB3303" w:rsidR="0022474B" w:rsidRPr="00232858" w:rsidRDefault="0022474B" w:rsidP="00505E31">
            <w:pPr>
              <w:spacing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Cs w:val="18"/>
              </w:rPr>
            </w:pPr>
          </w:p>
        </w:tc>
      </w:tr>
      <w:tr w:rsidR="00C87C59" w14:paraId="39333CBD" w14:textId="77777777" w:rsidTr="00372AC8">
        <w:trPr>
          <w:cnfStyle w:val="000000100000" w:firstRow="0" w:lastRow="0" w:firstColumn="0" w:lastColumn="0" w:oddVBand="0" w:evenVBand="0" w:oddHBand="1" w:evenHBand="0" w:firstRowFirstColumn="0" w:firstRowLastColumn="0" w:lastRowFirstColumn="0" w:lastRowLastColumn="0"/>
          <w:trHeight w:val="33"/>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hideMark/>
          </w:tcPr>
          <w:p w14:paraId="1A5860A4" w14:textId="77777777" w:rsidR="0022474B" w:rsidRPr="00232858" w:rsidRDefault="0022474B" w:rsidP="00232858">
            <w:pPr>
              <w:spacing w:after="0"/>
              <w:jc w:val="right"/>
              <w:rPr>
                <w:rFonts w:ascii="Calibri" w:eastAsia="Times New Roman" w:hAnsi="Calibri" w:cs="Calibri"/>
                <w:bCs/>
                <w:color w:val="000000"/>
                <w:szCs w:val="18"/>
              </w:rPr>
            </w:pPr>
            <w:r w:rsidRPr="00232858">
              <w:rPr>
                <w:rFonts w:ascii="Calibri" w:eastAsia="Times New Roman" w:hAnsi="Calibri" w:cs="Calibri"/>
                <w:bCs/>
                <w:color w:val="000000"/>
                <w:szCs w:val="18"/>
              </w:rPr>
              <w:t>Quantity</w:t>
            </w:r>
          </w:p>
        </w:tc>
        <w:tc>
          <w:tcPr>
            <w:tcW w:w="2246" w:type="dxa"/>
            <w:hideMark/>
          </w:tcPr>
          <w:p w14:paraId="4B8043D3" w14:textId="698D40C8" w:rsidR="0022474B" w:rsidRPr="00232858" w:rsidRDefault="00505E31"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r>
              <w:rPr>
                <w:rFonts w:ascii="Calibri" w:eastAsia="Times New Roman" w:hAnsi="Calibri" w:cs="Calibri"/>
                <w:color w:val="000000"/>
                <w:szCs w:val="18"/>
              </w:rPr>
              <w:t>1</w:t>
            </w:r>
          </w:p>
        </w:tc>
        <w:tc>
          <w:tcPr>
            <w:tcW w:w="2246" w:type="dxa"/>
            <w:hideMark/>
          </w:tcPr>
          <w:p w14:paraId="12B6E41A" w14:textId="77777777" w:rsidR="0022474B" w:rsidRPr="00232858" w:rsidRDefault="0022474B"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p>
        </w:tc>
        <w:tc>
          <w:tcPr>
            <w:tcW w:w="2246" w:type="dxa"/>
          </w:tcPr>
          <w:p w14:paraId="0D5962E2" w14:textId="77777777" w:rsidR="0022474B" w:rsidRPr="00232858" w:rsidRDefault="0022474B" w:rsidP="00232858">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8"/>
              </w:rPr>
            </w:pPr>
          </w:p>
        </w:tc>
      </w:tr>
    </w:tbl>
    <w:p w14:paraId="7DADE0D2" w14:textId="77777777" w:rsidR="0022474B" w:rsidRDefault="0022474B" w:rsidP="0022474B"/>
    <w:p w14:paraId="1296C10B" w14:textId="77777777" w:rsidR="0022474B" w:rsidRDefault="0022474B" w:rsidP="0022474B">
      <w:r w:rsidRPr="006002A5">
        <w:t>Note: SpaceX may approve or deny one or more of the requested Payload Constituents</w:t>
      </w:r>
      <w:r>
        <w:t>, including if SpaceX determines it is unable to obtain regulatory approvals</w:t>
      </w:r>
      <w:r w:rsidRPr="006002A5">
        <w:t>. Customer is allowed to propose an alternate Payload Constituent in place of any rejected Payload Constituent. After Mission integration analyses are complete SpaceX may reject a proposed alternate Payload Constituent if the proposed Payload Constituent invalidates the Mission integration analyses (as determined by SpaceX) or invalidates any licensing or regulatory approvals.  SpaceX’s approval is at the sole discretion of SpaceX while timely approval for all items within the Payload be the sole responsibility of the Customer. Customer’s failure to receive approval for any item within the Payload may result in rebooking and associated fee</w:t>
      </w:r>
      <w:r>
        <w:t>.</w:t>
      </w:r>
    </w:p>
    <w:p w14:paraId="3C787413" w14:textId="77777777" w:rsidR="005A0FE1" w:rsidRDefault="00F23841"/>
    <w:sectPr w:rsidR="005A0F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6F98" w14:textId="77777777" w:rsidR="00F23841" w:rsidRDefault="00F23841" w:rsidP="008710A4">
      <w:pPr>
        <w:spacing w:after="0" w:line="240" w:lineRule="auto"/>
      </w:pPr>
      <w:r>
        <w:separator/>
      </w:r>
    </w:p>
  </w:endnote>
  <w:endnote w:type="continuationSeparator" w:id="0">
    <w:p w14:paraId="2BFC7E2D" w14:textId="77777777" w:rsidR="00F23841" w:rsidRDefault="00F23841" w:rsidP="0087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Light">
    <w:charset w:val="00"/>
    <w:family w:val="auto"/>
    <w:pitch w:val="variable"/>
    <w:sig w:usb0="E00002FF" w:usb1="5000205B" w:usb2="00000020" w:usb3="00000000" w:csb0="0000019F" w:csb1="00000000"/>
  </w:font>
  <w:font w:name="D-DIN">
    <w:altName w:val="Calibri"/>
    <w:panose1 w:val="00000000000000000000"/>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0A7A" w14:textId="4719A095" w:rsidR="008710A4" w:rsidRPr="008710A4" w:rsidRDefault="008710A4" w:rsidP="008710A4">
    <w:pPr>
      <w:pStyle w:val="Footer"/>
      <w:rPr>
        <w:sz w:val="16"/>
      </w:rPr>
    </w:pPr>
    <w:r w:rsidRPr="008710A4">
      <w:rPr>
        <w:b/>
        <w:sz w:val="16"/>
      </w:rPr>
      <w:t>NOT EXPORT CONTROLLED.</w:t>
    </w:r>
    <w:r w:rsidRPr="008710A4">
      <w:rPr>
        <w:sz w:val="16"/>
      </w:rPr>
      <w:t xml:space="preserve"> </w:t>
    </w:r>
    <w:r w:rsidR="00CA44A2">
      <w:rPr>
        <w:sz w:val="16"/>
      </w:rPr>
      <w:t>This draft document c</w:t>
    </w:r>
    <w:r w:rsidRPr="008710A4">
      <w:rPr>
        <w:sz w:val="16"/>
      </w:rPr>
      <w:t>ontains No Technology or Technical Data subject to U.S. Export Controls.</w:t>
    </w:r>
  </w:p>
  <w:p w14:paraId="4495EA99" w14:textId="77777777" w:rsidR="008710A4" w:rsidRPr="008710A4" w:rsidRDefault="008710A4" w:rsidP="008710A4">
    <w:pPr>
      <w:pStyle w:val="Footer"/>
      <w:rPr>
        <w:sz w:val="16"/>
      </w:rPr>
    </w:pPr>
  </w:p>
  <w:p w14:paraId="4655C839" w14:textId="087C6932" w:rsidR="008710A4" w:rsidRPr="008710A4" w:rsidRDefault="008710A4" w:rsidP="008710A4">
    <w:pPr>
      <w:pStyle w:val="Footer"/>
      <w:rPr>
        <w:sz w:val="16"/>
      </w:rPr>
    </w:pPr>
    <w:r w:rsidRPr="008710A4">
      <w:rPr>
        <w:b/>
        <w:sz w:val="16"/>
      </w:rPr>
      <w:t xml:space="preserve">Proprietary Notice: </w:t>
    </w:r>
    <w:r w:rsidRPr="008710A4">
      <w:rPr>
        <w:sz w:val="16"/>
      </w:rPr>
      <w:t>The information contained herein constitutes PROPRIETARY INFORMATION of Space Exploration Technologies Corp. (SpaceX)</w:t>
    </w:r>
    <w:r w:rsidR="00CA44A2">
      <w:rPr>
        <w:sz w:val="16"/>
      </w:rPr>
      <w:t>, Geometric Energy Corporation (GEC), and Xtraordinary Innovative Space Partnerships, Inc. (XISP-Inc)</w:t>
    </w:r>
    <w:r w:rsidRPr="008710A4">
      <w:rPr>
        <w:sz w:val="16"/>
      </w:rPr>
      <w:t>. This information is provided in confidence under existing laws, regulations and/or agreements covering the release of commercial, competition-sensitive and/or proprietary information, and shall be handled accordingly.</w:t>
    </w:r>
  </w:p>
  <w:p w14:paraId="63EF07F9" w14:textId="77777777" w:rsidR="008710A4" w:rsidRDefault="00871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FF91" w14:textId="77777777" w:rsidR="00F23841" w:rsidRDefault="00F23841" w:rsidP="008710A4">
      <w:pPr>
        <w:spacing w:after="0" w:line="240" w:lineRule="auto"/>
      </w:pPr>
      <w:r>
        <w:separator/>
      </w:r>
    </w:p>
  </w:footnote>
  <w:footnote w:type="continuationSeparator" w:id="0">
    <w:p w14:paraId="1502C13B" w14:textId="77777777" w:rsidR="00F23841" w:rsidRDefault="00F23841" w:rsidP="00871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3B38"/>
    <w:multiLevelType w:val="hybridMultilevel"/>
    <w:tmpl w:val="F80C7D86"/>
    <w:lvl w:ilvl="0" w:tplc="040C84C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56E48"/>
    <w:multiLevelType w:val="hybridMultilevel"/>
    <w:tmpl w:val="2E8C395C"/>
    <w:lvl w:ilvl="0" w:tplc="E244FD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F80636"/>
    <w:multiLevelType w:val="hybridMultilevel"/>
    <w:tmpl w:val="2EBE8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B0B19"/>
    <w:multiLevelType w:val="hybridMultilevel"/>
    <w:tmpl w:val="E4D43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FD4D82"/>
    <w:multiLevelType w:val="hybridMultilevel"/>
    <w:tmpl w:val="88C42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4D12AD"/>
    <w:multiLevelType w:val="hybridMultilevel"/>
    <w:tmpl w:val="24C26D56"/>
    <w:lvl w:ilvl="0" w:tplc="3A9CF8B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EC62D2"/>
    <w:multiLevelType w:val="hybridMultilevel"/>
    <w:tmpl w:val="59045A44"/>
    <w:lvl w:ilvl="0" w:tplc="0292D34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607D6"/>
    <w:multiLevelType w:val="hybridMultilevel"/>
    <w:tmpl w:val="9C6A2940"/>
    <w:lvl w:ilvl="0" w:tplc="E244FDD8">
      <w:start w:val="1"/>
      <w:numFmt w:val="decimal"/>
      <w:lvlText w:val="(%1)"/>
      <w:lvlJc w:val="left"/>
      <w:pPr>
        <w:ind w:left="127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num w:numId="1">
    <w:abstractNumId w:val="1"/>
  </w:num>
  <w:num w:numId="2">
    <w:abstractNumId w:val="7"/>
  </w:num>
  <w:num w:numId="3">
    <w:abstractNumId w:val="4"/>
  </w:num>
  <w:num w:numId="4">
    <w:abstractNumId w:val="3"/>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0NbC0MDc1NDS3MDNV0lEKTi0uzszPAykwrAUA+d2dUSwAAAA="/>
  </w:docVars>
  <w:rsids>
    <w:rsidRoot w:val="0022474B"/>
    <w:rsid w:val="000756EA"/>
    <w:rsid w:val="000B4D78"/>
    <w:rsid w:val="0022474B"/>
    <w:rsid w:val="003643B1"/>
    <w:rsid w:val="00372AC8"/>
    <w:rsid w:val="003B7ECA"/>
    <w:rsid w:val="00505E31"/>
    <w:rsid w:val="00574D90"/>
    <w:rsid w:val="008453C3"/>
    <w:rsid w:val="008710A4"/>
    <w:rsid w:val="00BA5954"/>
    <w:rsid w:val="00C87C59"/>
    <w:rsid w:val="00CA44A2"/>
    <w:rsid w:val="00F23841"/>
    <w:rsid w:val="00F4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8F7C"/>
  <w15:chartTrackingRefBased/>
  <w15:docId w15:val="{76C9BAC0-BBFE-4181-AFE4-44D24A27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4B"/>
    <w:pPr>
      <w:spacing w:after="120" w:line="276" w:lineRule="auto"/>
      <w:jc w:val="both"/>
    </w:pPr>
    <w:rPr>
      <w:rFonts w:ascii="Roboto Light" w:hAnsi="Roboto Light" w:cs="Times New Roman"/>
      <w:sz w:val="18"/>
    </w:rPr>
  </w:style>
  <w:style w:type="paragraph" w:styleId="Heading1">
    <w:name w:val="heading 1"/>
    <w:basedOn w:val="Normal"/>
    <w:next w:val="Normal"/>
    <w:link w:val="Heading1Char"/>
    <w:uiPriority w:val="1"/>
    <w:qFormat/>
    <w:rsid w:val="0022474B"/>
    <w:pPr>
      <w:keepNext/>
      <w:keepLines/>
      <w:pageBreakBefore/>
      <w:spacing w:after="0"/>
      <w:outlineLvl w:val="0"/>
    </w:pPr>
    <w:rPr>
      <w:rFonts w:ascii="D-DIN" w:eastAsiaTheme="majorEastAsia" w:hAnsi="D-DIN" w:cstheme="majorBidi"/>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74B"/>
    <w:rPr>
      <w:rFonts w:ascii="D-DIN" w:eastAsiaTheme="majorEastAsia" w:hAnsi="D-DIN" w:cstheme="majorBidi"/>
      <w:b/>
      <w:bCs/>
      <w:caps/>
      <w:sz w:val="28"/>
      <w:szCs w:val="28"/>
    </w:rPr>
  </w:style>
  <w:style w:type="table" w:customStyle="1" w:styleId="StandardStyle">
    <w:name w:val="Standard Style"/>
    <w:basedOn w:val="TableNormal"/>
    <w:uiPriority w:val="99"/>
    <w:rsid w:val="0022474B"/>
    <w:pPr>
      <w:spacing w:after="0" w:line="240" w:lineRule="auto"/>
    </w:p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Theme="majorHAnsi" w:hAnsiTheme="majorHAnsi"/>
        <w:b/>
      </w:rPr>
      <w:tblPr/>
      <w:trPr>
        <w:tblHeader/>
      </w:trPr>
      <w:tcPr>
        <w:tcBorders>
          <w:top w:val="nil"/>
          <w:left w:val="nil"/>
          <w:bottom w:val="nil"/>
          <w:right w:val="nil"/>
          <w:insideH w:val="nil"/>
          <w:insideV w:val="nil"/>
          <w:tl2br w:val="nil"/>
          <w:tr2bl w:val="nil"/>
        </w:tcBorders>
        <w:shd w:val="clear" w:color="auto" w:fill="BFBFBF" w:themeFill="background1" w:themeFillShade="BF"/>
        <w:vAlign w:val="bottom"/>
      </w:tcPr>
    </w:tblStylePr>
    <w:tblStylePr w:type="firstCol">
      <w:rPr>
        <w:rFonts w:asciiTheme="minorHAnsi" w:hAnsiTheme="minorHAnsi"/>
      </w:rPr>
    </w:tblStylePr>
    <w:tblStylePr w:type="lastCol">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Header">
    <w:name w:val="header"/>
    <w:basedOn w:val="Normal"/>
    <w:link w:val="HeaderChar"/>
    <w:uiPriority w:val="99"/>
    <w:unhideWhenUsed/>
    <w:rsid w:val="00871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0A4"/>
    <w:rPr>
      <w:rFonts w:ascii="Roboto Light" w:hAnsi="Roboto Light" w:cs="Times New Roman"/>
      <w:sz w:val="18"/>
    </w:rPr>
  </w:style>
  <w:style w:type="paragraph" w:styleId="Footer">
    <w:name w:val="footer"/>
    <w:basedOn w:val="Normal"/>
    <w:link w:val="FooterChar"/>
    <w:uiPriority w:val="99"/>
    <w:unhideWhenUsed/>
    <w:rsid w:val="00871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0A4"/>
    <w:rPr>
      <w:rFonts w:ascii="Roboto Light" w:hAnsi="Roboto Light" w:cs="Times New Roman"/>
      <w:sz w:val="18"/>
    </w:rPr>
  </w:style>
  <w:style w:type="paragraph" w:styleId="ListParagraph">
    <w:name w:val="List Paragraph"/>
    <w:basedOn w:val="Normal"/>
    <w:uiPriority w:val="34"/>
    <w:qFormat/>
    <w:rsid w:val="003B7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829F4-256A-49A4-B14E-F8C5B79B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Space Exploration Technologies</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Matthews</dc:creator>
  <cp:keywords/>
  <dc:description/>
  <cp:lastModifiedBy>Gary Barnhard</cp:lastModifiedBy>
  <cp:revision>2</cp:revision>
  <dcterms:created xsi:type="dcterms:W3CDTF">2021-07-30T20:41:00Z</dcterms:created>
  <dcterms:modified xsi:type="dcterms:W3CDTF">2021-07-30T20:41:00Z</dcterms:modified>
</cp:coreProperties>
</file>